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___RN-Tyler Follis_________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Tyler Rodney Follis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07/20/1984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Candy Apple Green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Bobcat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Anything clinic related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Toblerone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granola bars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iced coffee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Taco Bell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Jose Peppers (my wife’s and therefor mine lol :-)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Pittsburg Steelers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Jonathan Mayberry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Harbor Freight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Scuba Diving and boating, Motorcycle building and riding,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linen, cotton,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leather scent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seasonal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Impact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